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CONTIGUOUS BORED-PILE RETAINING WALL</w:t>
      </w:r>
    </w:p>
    <w:p>
      <w:pPr>
        <w:spacing w:after="480"/>
      </w:pPr>
      <w:r>
        <w:rPr>
          <w:rFonts w:ascii="Aptos" w:hAnsi="Aptos"/>
          <w:b w:val="0"/>
          <w:color w:val="5E6B78"/>
          <w:sz w:val="26"/>
        </w:rPr>
        <w:t>Dinding Contiguous Bored Pile</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contiguous bored-pile retaining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contiguous bored-pile retaining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Concrete</w:t>
      </w:r>
    </w:p>
    <w:p>
      <w:pPr>
        <w:pStyle w:val="ListBullet"/>
        <w:spacing w:after="50"/>
        <w:ind w:left="369" w:hanging="170"/>
      </w:pPr>
      <w:r>
        <w:rPr>
          <w:rFonts w:ascii="Aptos" w:hAnsi="Aptos"/>
          <w:b w:val="0"/>
          <w:color w:val="263442"/>
          <w:sz w:val="19"/>
        </w:rPr>
        <w:t>Reinforcement cages</w:t>
      </w:r>
    </w:p>
    <w:p>
      <w:pPr>
        <w:pStyle w:val="ListBullet"/>
        <w:spacing w:after="50"/>
        <w:ind w:left="369" w:hanging="170"/>
      </w:pPr>
      <w:r>
        <w:rPr>
          <w:rFonts w:ascii="Aptos" w:hAnsi="Aptos"/>
          <w:b w:val="0"/>
          <w:color w:val="263442"/>
          <w:sz w:val="19"/>
        </w:rPr>
        <w:t>Temporary casing</w:t>
      </w:r>
    </w:p>
    <w:p>
      <w:pPr>
        <w:pStyle w:val="ListBullet"/>
        <w:spacing w:after="50"/>
        <w:ind w:left="369" w:hanging="170"/>
      </w:pPr>
      <w:r>
        <w:rPr>
          <w:rFonts w:ascii="Aptos" w:hAnsi="Aptos"/>
          <w:b w:val="0"/>
          <w:color w:val="263442"/>
          <w:sz w:val="19"/>
        </w:rPr>
        <w:t>Guide-wall concrete</w:t>
      </w:r>
    </w:p>
    <w:p>
      <w:pPr>
        <w:pStyle w:val="ListBullet"/>
        <w:spacing w:after="50"/>
        <w:ind w:left="369" w:hanging="170"/>
      </w:pPr>
      <w:r>
        <w:rPr>
          <w:rFonts w:ascii="Aptos" w:hAnsi="Aptos"/>
          <w:b w:val="0"/>
          <w:color w:val="263442"/>
          <w:sz w:val="19"/>
        </w:rPr>
        <w:t>Capping-beam materials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Rotary piling rig</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Casing oscillator</w:t>
      </w:r>
    </w:p>
    <w:p>
      <w:pPr>
        <w:pStyle w:val="ListBullet"/>
        <w:spacing w:after="50"/>
        <w:ind w:left="369" w:hanging="170"/>
      </w:pPr>
      <w:r>
        <w:rPr>
          <w:rFonts w:ascii="Aptos" w:hAnsi="Aptos"/>
          <w:b w:val="0"/>
          <w:color w:val="263442"/>
          <w:sz w:val="19"/>
        </w:rPr>
        <w:t>Tremie pipes</w:t>
      </w:r>
    </w:p>
    <w:p>
      <w:pPr>
        <w:pStyle w:val="ListBullet"/>
        <w:spacing w:after="50"/>
        <w:ind w:left="369" w:hanging="170"/>
      </w:pPr>
      <w:r>
        <w:rPr>
          <w:rFonts w:ascii="Aptos" w:hAnsi="Aptos"/>
          <w:b w:val="0"/>
          <w:color w:val="263442"/>
          <w:sz w:val="19"/>
        </w:rPr>
        <w:t>Survey and verticality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contiguous bored-pile retaining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Concrete, Reinforcement cages, Temporary casing, Guide-wall concrete, Capping-beam materials.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wall geometry. </w:t>
      </w:r>
      <w:r>
        <w:rPr>
          <w:rFonts w:ascii="Aptos" w:hAnsi="Aptos"/>
          <w:b w:val="0"/>
          <w:color w:val="263442"/>
          <w:sz w:val="19"/>
        </w:rPr>
        <w:t>Approve the wall geometry, pile sequence, platform, tolerances, monitoring and adjacent-asset controls.</w:t>
      </w:r>
    </w:p>
    <w:p>
      <w:pPr>
        <w:keepLines/>
        <w:spacing w:after="100" w:line="269" w:lineRule="auto"/>
        <w:ind w:left="369" w:hanging="369"/>
      </w:pPr>
      <w:r>
        <w:rPr>
          <w:rFonts w:ascii="Aptos" w:hAnsi="Aptos"/>
          <w:b/>
          <w:color w:val="071E33"/>
          <w:sz w:val="19"/>
        </w:rPr>
        <w:t xml:space="preserve">2. Construct guide walls. </w:t>
      </w:r>
      <w:r>
        <w:rPr>
          <w:rFonts w:ascii="Aptos" w:hAnsi="Aptos"/>
          <w:b w:val="0"/>
          <w:color w:val="263442"/>
          <w:sz w:val="19"/>
        </w:rPr>
        <w:t>Construct guide walls and set out every pile centre using protected survey references.</w:t>
      </w:r>
    </w:p>
    <w:p>
      <w:pPr>
        <w:keepLines/>
        <w:spacing w:after="100" w:line="269" w:lineRule="auto"/>
        <w:ind w:left="369" w:hanging="369"/>
      </w:pPr>
      <w:r>
        <w:rPr>
          <w:rFonts w:ascii="Aptos" w:hAnsi="Aptos"/>
          <w:b/>
          <w:color w:val="071E33"/>
          <w:sz w:val="19"/>
        </w:rPr>
        <w:t xml:space="preserve">3. Install casing and bore primary piles in the approved alternate sequence. </w:t>
      </w:r>
      <w:r>
        <w:rPr>
          <w:rFonts w:ascii="Aptos" w:hAnsi="Aptos"/>
          <w:b w:val="0"/>
          <w:color w:val="263442"/>
          <w:sz w:val="19"/>
        </w:rPr>
        <w:t>Install casing and bore primary piles in the approved alternate sequence while logging strata and verticality.</w:t>
      </w:r>
    </w:p>
    <w:p>
      <w:pPr>
        <w:keepLines/>
        <w:spacing w:after="100" w:line="269" w:lineRule="auto"/>
        <w:ind w:left="369" w:hanging="369"/>
      </w:pPr>
      <w:r>
        <w:rPr>
          <w:rFonts w:ascii="Aptos" w:hAnsi="Aptos"/>
          <w:b/>
          <w:color w:val="071E33"/>
          <w:sz w:val="19"/>
        </w:rPr>
        <w:t xml:space="preserve">4. Clean each base. </w:t>
      </w:r>
      <w:r>
        <w:rPr>
          <w:rFonts w:ascii="Aptos" w:hAnsi="Aptos"/>
          <w:b w:val="0"/>
          <w:color w:val="263442"/>
          <w:sz w:val="19"/>
        </w:rPr>
        <w:t>Clean each base, lower the inspected reinforcement cage and place concrete continuously by tremie.</w:t>
      </w:r>
    </w:p>
    <w:p>
      <w:pPr>
        <w:keepLines/>
        <w:spacing w:after="100" w:line="269" w:lineRule="auto"/>
        <w:ind w:left="369" w:hanging="369"/>
      </w:pPr>
      <w:r>
        <w:rPr>
          <w:rFonts w:ascii="Aptos" w:hAnsi="Aptos"/>
          <w:b/>
          <w:color w:val="071E33"/>
          <w:sz w:val="19"/>
        </w:rPr>
        <w:t xml:space="preserve">5. Construct infill piles only. </w:t>
      </w:r>
      <w:r>
        <w:rPr>
          <w:rFonts w:ascii="Aptos" w:hAnsi="Aptos"/>
          <w:b w:val="0"/>
          <w:color w:val="263442"/>
          <w:sz w:val="19"/>
        </w:rPr>
        <w:t>Construct infill piles only after adjacent concrete has achieved the specified strength and verify wall continuity.</w:t>
      </w:r>
    </w:p>
    <w:p>
      <w:pPr>
        <w:keepLines/>
        <w:spacing w:after="100" w:line="269" w:lineRule="auto"/>
        <w:ind w:left="369" w:hanging="369"/>
      </w:pPr>
      <w:r>
        <w:rPr>
          <w:rFonts w:ascii="Aptos" w:hAnsi="Aptos"/>
          <w:b/>
          <w:color w:val="071E33"/>
          <w:sz w:val="19"/>
        </w:rPr>
        <w:t xml:space="preserve">6. Trim heads, survey as-built positions. </w:t>
      </w:r>
      <w:r>
        <w:rPr>
          <w:rFonts w:ascii="Aptos" w:hAnsi="Aptos"/>
          <w:b w:val="0"/>
          <w:color w:val="263442"/>
          <w:sz w:val="19"/>
        </w:rPr>
        <w:t>Trim heads, survey as-built positions and construct the capping beam before staged excavation.</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design and working platform; guide wall and setting out; bore depth and verticality; cage and concrete; wall continuity; as-built and capping beam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rig overturning; open bore; crane lifting; adjacent-ground movement; concrete pressure.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Design and working platform</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Guide wall and setting out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Bore depth and verticality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Cage and concrete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Wall continuity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As-built and capping beam</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Open bore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Crane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Adjacent-ground movement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Concrete pressure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Contiguous Bored-Pile Retaining Wall</dc:title>
  <dc:subject>Editable construction method statement template</dc:subject>
  <dc:creator>Method Statement Hub Malaysia</dc:creator>
  <cp:keywords>contiguous bored pile, CBP wall, retaining wall,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